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BC" w:rsidRDefault="00F503DB" w:rsidP="00BE3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F503DB">
        <w:rPr>
          <w:b/>
          <w:sz w:val="28"/>
          <w:szCs w:val="28"/>
        </w:rPr>
        <w:t xml:space="preserve">SG </w:t>
      </w:r>
      <w:r>
        <w:rPr>
          <w:b/>
          <w:sz w:val="28"/>
          <w:szCs w:val="28"/>
        </w:rPr>
        <w:t xml:space="preserve">- </w:t>
      </w:r>
      <w:r w:rsidRPr="00F503DB">
        <w:rPr>
          <w:b/>
          <w:sz w:val="28"/>
          <w:szCs w:val="28"/>
        </w:rPr>
        <w:t>аспекты деятельности Банка</w:t>
      </w:r>
      <w:r>
        <w:rPr>
          <w:b/>
          <w:sz w:val="28"/>
          <w:szCs w:val="28"/>
        </w:rPr>
        <w:t xml:space="preserve"> </w:t>
      </w:r>
      <w:r w:rsidR="00C01DBA">
        <w:rPr>
          <w:b/>
          <w:sz w:val="28"/>
          <w:szCs w:val="28"/>
        </w:rPr>
        <w:t>на 01.0</w:t>
      </w:r>
      <w:r w:rsidR="00AB7FB3">
        <w:rPr>
          <w:b/>
          <w:sz w:val="28"/>
          <w:szCs w:val="28"/>
        </w:rPr>
        <w:t>7</w:t>
      </w:r>
      <w:r w:rsidR="00BE38BC" w:rsidRPr="00BE38BC">
        <w:rPr>
          <w:b/>
          <w:sz w:val="28"/>
          <w:szCs w:val="28"/>
        </w:rPr>
        <w:t>.202</w:t>
      </w:r>
      <w:r w:rsidR="009A560D">
        <w:rPr>
          <w:b/>
          <w:sz w:val="28"/>
          <w:szCs w:val="28"/>
        </w:rPr>
        <w:t>3</w:t>
      </w:r>
      <w:r w:rsidR="00BE38BC" w:rsidRPr="00BE38BC">
        <w:rPr>
          <w:b/>
          <w:sz w:val="28"/>
          <w:szCs w:val="28"/>
        </w:rPr>
        <w:t xml:space="preserve"> г.</w:t>
      </w:r>
    </w:p>
    <w:p w:rsidR="00217E2D" w:rsidRPr="00217E2D" w:rsidRDefault="00217E2D" w:rsidP="00BE38BC">
      <w:pPr>
        <w:jc w:val="center"/>
        <w:rPr>
          <w:sz w:val="28"/>
          <w:szCs w:val="28"/>
        </w:rPr>
      </w:pPr>
    </w:p>
    <w:tbl>
      <w:tblPr>
        <w:tblW w:w="10975" w:type="dxa"/>
        <w:tblInd w:w="93" w:type="dxa"/>
        <w:tblLook w:val="04A0" w:firstRow="1" w:lastRow="0" w:firstColumn="1" w:lastColumn="0" w:noHBand="0" w:noVBand="1"/>
      </w:tblPr>
      <w:tblGrid>
        <w:gridCol w:w="1291"/>
        <w:gridCol w:w="5670"/>
        <w:gridCol w:w="222"/>
        <w:gridCol w:w="2519"/>
        <w:gridCol w:w="141"/>
        <w:gridCol w:w="426"/>
        <w:gridCol w:w="706"/>
      </w:tblGrid>
      <w:tr w:rsidR="00342B63" w:rsidRPr="00342B63" w:rsidTr="00FF708E">
        <w:trPr>
          <w:gridAfter w:val="2"/>
          <w:wAfter w:w="1132" w:type="dxa"/>
          <w:trHeight w:val="3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кредитного портфеля по отраслям экономики</w:t>
            </w:r>
          </w:p>
        </w:tc>
      </w:tr>
      <w:tr w:rsidR="00342B63" w:rsidRPr="00342B63" w:rsidTr="00FF708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B7E" w:rsidRPr="00342B63" w:rsidTr="00DD191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C01DBA" w:rsidRDefault="00AB7FB3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342B63" w:rsidRDefault="007648EF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FF708E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3B303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7648EF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54C80" w:rsidRDefault="00254C80">
      <w:pPr>
        <w:rPr>
          <w:rFonts w:ascii="Times New Roman" w:hAnsi="Times New Roman" w:cs="Times New Roman"/>
          <w:sz w:val="20"/>
          <w:szCs w:val="20"/>
        </w:rPr>
      </w:pPr>
    </w:p>
    <w:p w:rsidR="00AB7FB3" w:rsidRDefault="00AB7FB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6374B1" wp14:editId="50299C8D">
            <wp:extent cx="6645910" cy="4341495"/>
            <wp:effectExtent l="0" t="0" r="2540" b="190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7FB3" w:rsidRDefault="00AB7FB3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AB7FB3" w:rsidRDefault="00AB7FB3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42B63" w:rsidRPr="00342B63" w:rsidRDefault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экологического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0D64A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8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8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C01DB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8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78373E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8373E" w:rsidRDefault="0078373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DDCC63" wp14:editId="373876B7">
            <wp:extent cx="6645910" cy="4341495"/>
            <wp:effectExtent l="0" t="0" r="2540" b="190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373E" w:rsidRDefault="0078373E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B63" w:rsidRPr="00342B63" w:rsidRDefault="00342B63" w:rsidP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социального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2538DC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78373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8373E" w:rsidRDefault="0078373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4D236B" wp14:editId="5404B214">
            <wp:extent cx="6645910" cy="4341495"/>
            <wp:effectExtent l="0" t="0" r="2540" b="19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73E" w:rsidRDefault="0078373E">
      <w:pPr>
        <w:rPr>
          <w:rFonts w:ascii="Times New Roman" w:hAnsi="Times New Roman" w:cs="Times New Roman"/>
          <w:sz w:val="20"/>
          <w:szCs w:val="20"/>
        </w:rPr>
      </w:pPr>
    </w:p>
    <w:p w:rsidR="00E50B7F" w:rsidRDefault="00E50B7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Коэффициенты оплаты труда органов управления Банком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средней величине должностного оклада работника Банка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Члены коллегиального исполнительного органа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от 5 до 9</w:t>
            </w:r>
          </w:p>
        </w:tc>
      </w:tr>
    </w:tbl>
    <w:p w:rsidR="00742F3A" w:rsidRDefault="00742F3A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1E" w:rsidRDefault="00DD191E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t xml:space="preserve">Соотношение числа мужчин и женщин в коллегиальном исполнительном органе Банка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14433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E38BC" w:rsidRPr="00514433" w:rsidRDefault="0078373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8BC" w:rsidRPr="00520D85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</w:tcPr>
          <w:p w:rsidR="00BE38BC" w:rsidRPr="00520D85" w:rsidRDefault="0078373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CF9719" wp14:editId="353F9A09">
            <wp:extent cx="6645910" cy="3517265"/>
            <wp:effectExtent l="0" t="0" r="2540" b="698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числа мужчин и женщин среди сотрудников Банка (гендерное разнообразие)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980" w:rsidRPr="00E8614B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38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980" w:rsidRPr="00520D85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2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C5D138" wp14:editId="45757CB4">
            <wp:extent cx="6645910" cy="3517265"/>
            <wp:effectExtent l="0" t="0" r="2540" b="698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38398E" w:rsidRDefault="0038398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BE38BC" w:rsidRPr="00342B63" w:rsidRDefault="00BE38BC">
      <w:pPr>
        <w:rPr>
          <w:rFonts w:ascii="Times New Roman" w:hAnsi="Times New Roman" w:cs="Times New Roman"/>
          <w:sz w:val="20"/>
          <w:szCs w:val="20"/>
        </w:rPr>
      </w:pPr>
    </w:p>
    <w:sectPr w:rsidR="00BE38BC" w:rsidRPr="00342B63" w:rsidSect="00342B6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4F" w:rsidRDefault="00254F4F" w:rsidP="00742F3A">
      <w:pPr>
        <w:spacing w:after="0" w:line="240" w:lineRule="auto"/>
      </w:pPr>
      <w:r>
        <w:separator/>
      </w:r>
    </w:p>
  </w:endnote>
  <w:endnote w:type="continuationSeparator" w:id="0">
    <w:p w:rsidR="00254F4F" w:rsidRDefault="00254F4F" w:rsidP="007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25812"/>
      <w:docPartObj>
        <w:docPartGallery w:val="Page Numbers (Bottom of Page)"/>
        <w:docPartUnique/>
      </w:docPartObj>
    </w:sdtPr>
    <w:sdtEndPr/>
    <w:sdtContent>
      <w:p w:rsidR="00742F3A" w:rsidRDefault="00742F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98E">
          <w:rPr>
            <w:noProof/>
          </w:rPr>
          <w:t>1</w:t>
        </w:r>
        <w:r>
          <w:fldChar w:fldCharType="end"/>
        </w:r>
      </w:p>
    </w:sdtContent>
  </w:sdt>
  <w:p w:rsidR="00742F3A" w:rsidRDefault="00742F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4F" w:rsidRDefault="00254F4F" w:rsidP="00742F3A">
      <w:pPr>
        <w:spacing w:after="0" w:line="240" w:lineRule="auto"/>
      </w:pPr>
      <w:r>
        <w:separator/>
      </w:r>
    </w:p>
  </w:footnote>
  <w:footnote w:type="continuationSeparator" w:id="0">
    <w:p w:rsidR="00254F4F" w:rsidRDefault="00254F4F" w:rsidP="0074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3"/>
    <w:rsid w:val="00013F1A"/>
    <w:rsid w:val="000D64AA"/>
    <w:rsid w:val="000E6E26"/>
    <w:rsid w:val="00217E2D"/>
    <w:rsid w:val="002538DC"/>
    <w:rsid w:val="00254C80"/>
    <w:rsid w:val="00254F4F"/>
    <w:rsid w:val="00262C18"/>
    <w:rsid w:val="002E7E83"/>
    <w:rsid w:val="0031485C"/>
    <w:rsid w:val="00333202"/>
    <w:rsid w:val="00342B63"/>
    <w:rsid w:val="0038398E"/>
    <w:rsid w:val="003909C5"/>
    <w:rsid w:val="003B3034"/>
    <w:rsid w:val="003B5980"/>
    <w:rsid w:val="00514433"/>
    <w:rsid w:val="00520D85"/>
    <w:rsid w:val="005E0E4A"/>
    <w:rsid w:val="0067423A"/>
    <w:rsid w:val="006F557B"/>
    <w:rsid w:val="00742F3A"/>
    <w:rsid w:val="007648EF"/>
    <w:rsid w:val="0078373E"/>
    <w:rsid w:val="007935F4"/>
    <w:rsid w:val="007D123B"/>
    <w:rsid w:val="00881B7E"/>
    <w:rsid w:val="00947A26"/>
    <w:rsid w:val="009A560D"/>
    <w:rsid w:val="009B4AD0"/>
    <w:rsid w:val="00A301FD"/>
    <w:rsid w:val="00A31918"/>
    <w:rsid w:val="00A82604"/>
    <w:rsid w:val="00AB7FB3"/>
    <w:rsid w:val="00B73DE4"/>
    <w:rsid w:val="00B93B9A"/>
    <w:rsid w:val="00BE38BC"/>
    <w:rsid w:val="00C01DBA"/>
    <w:rsid w:val="00C1695B"/>
    <w:rsid w:val="00C60668"/>
    <w:rsid w:val="00C92F3F"/>
    <w:rsid w:val="00CC6634"/>
    <w:rsid w:val="00D509E1"/>
    <w:rsid w:val="00D70C40"/>
    <w:rsid w:val="00D93214"/>
    <w:rsid w:val="00DD191E"/>
    <w:rsid w:val="00E50B7F"/>
    <w:rsid w:val="00E8614B"/>
    <w:rsid w:val="00F12BDE"/>
    <w:rsid w:val="00F503DB"/>
    <w:rsid w:val="00FD53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0DC"/>
  <w15:docId w15:val="{9379C7BB-C4DB-45A4-9E29-AE9FD26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DD69-428C-9EBA-6605734A97AA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DD69-428C-9EBA-6605734A97AA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DD69-428C-9EBA-6605734A97A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5.9631355913354183</c:v>
                </c:pt>
                <c:pt idx="1">
                  <c:v>19.385076452331504</c:v>
                </c:pt>
                <c:pt idx="2">
                  <c:v>0.55886260148164957</c:v>
                </c:pt>
                <c:pt idx="3">
                  <c:v>74.092925354851431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69-428C-9EBA-6605734A9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F28F-4EBA-B003-12039A97940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F28F-4EBA-B003-12039A97940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F28F-4EBA-B003-12039A97940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63.743502503488557</c:v>
                </c:pt>
                <c:pt idx="1">
                  <c:v>32.641054177509268</c:v>
                </c:pt>
                <c:pt idx="2">
                  <c:v>3.6154433190021442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28F-4EBA-B003-12039A979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CCCB-4610-8D14-E6DF4D8C0DE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CCCB-4610-8D14-E6DF4D8C0DE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CCCB-4610-8D14-E6DF4D8C0D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68.24631517554252</c:v>
                </c:pt>
                <c:pt idx="1">
                  <c:v>4.1112460659938206</c:v>
                </c:pt>
                <c:pt idx="2">
                  <c:v>27.642438758463616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CB-4610-8D14-E6DF4D8C0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8-4E6F-A741-8A009F6C8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B-4F5B-87B3-774A3E52E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Иванов Алексей Евгеньевич</cp:lastModifiedBy>
  <cp:revision>6</cp:revision>
  <dcterms:created xsi:type="dcterms:W3CDTF">2024-04-08T09:15:00Z</dcterms:created>
  <dcterms:modified xsi:type="dcterms:W3CDTF">2024-04-08T09:30:00Z</dcterms:modified>
</cp:coreProperties>
</file>